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515160">
      <w:pPr>
        <w:jc w:val="center"/>
        <w:rPr>
          <w:rFonts w:hint="eastAsia" w:ascii="方正小标宋简体" w:hAnsi="方正小标宋_GBK" w:eastAsia="方正小标宋简体" w:cs="方正小标宋_GBK"/>
          <w:sz w:val="44"/>
          <w:szCs w:val="44"/>
        </w:rPr>
      </w:pPr>
      <w:r>
        <w:rPr>
          <w:rFonts w:hint="eastAsia" w:ascii="方正小标宋简体" w:hAnsi="方正小标宋_GBK" w:eastAsia="方正小标宋简体" w:cs="方正小标宋_GBK"/>
          <w:sz w:val="44"/>
          <w:szCs w:val="44"/>
        </w:rPr>
        <w:t>江苏省地方标准《社会保障卡经办服务规范》（报批稿）编制说明</w:t>
      </w:r>
    </w:p>
    <w:p w14:paraId="08ABC37E">
      <w:pPr>
        <w:spacing w:line="58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一、目的意义</w:t>
      </w:r>
    </w:p>
    <w:p w14:paraId="025924F1">
      <w:pPr>
        <w:spacing w:line="580" w:lineRule="exact"/>
        <w:ind w:firstLine="640" w:firstLineChars="200"/>
        <w:jc w:val="left"/>
        <w:rPr>
          <w:rFonts w:hint="eastAsia" w:ascii="方正楷体_GBK" w:hAnsi="方正仿宋_GBK" w:eastAsia="方正楷体_GBK" w:cs="方正仿宋_GBK"/>
          <w:sz w:val="32"/>
          <w:szCs w:val="32"/>
        </w:rPr>
      </w:pPr>
      <w:r>
        <w:rPr>
          <w:rFonts w:hint="eastAsia" w:ascii="方正楷体_GBK" w:hAnsi="方正仿宋_GBK" w:eastAsia="方正楷体_GBK" w:cs="方正仿宋_GBK"/>
          <w:sz w:val="32"/>
          <w:szCs w:val="32"/>
        </w:rPr>
        <w:t>（一）社会保障卡作为政务民生的载体，应用覆盖了政务服务、交通、医疗、金融等多个领域。</w:t>
      </w:r>
    </w:p>
    <w:p w14:paraId="30EAEE52">
      <w:pPr>
        <w:spacing w:line="58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社会保障卡是持卡人享有社会保障和公共就业服务权益的电子凭证，聚合了公民身份、就业、参保、养老、医疗、金融等100多种信息和功能。近年来，社会保障卡在政务服务和社会管理工作中发挥的作用不断增强，逐步成为群众享受政府公共服务的有效载体、智慧城市服务的响亮品牌。据《2022年度江苏省人力资源和社会保障事业发展统计公报》显示，2022年末江苏社会保障卡累积发行9240万张，常住人口电子社保卡持卡覆盖率58.6%。</w:t>
      </w:r>
    </w:p>
    <w:p w14:paraId="3FC57F2E">
      <w:pPr>
        <w:spacing w:line="580" w:lineRule="exact"/>
        <w:ind w:firstLine="640" w:firstLineChars="200"/>
        <w:jc w:val="left"/>
        <w:rPr>
          <w:rFonts w:hint="eastAsia" w:ascii="方正楷体_GBK" w:hAnsi="方正仿宋_GBK" w:eastAsia="方正楷体_GBK" w:cs="方正仿宋_GBK"/>
          <w:sz w:val="32"/>
          <w:szCs w:val="32"/>
        </w:rPr>
      </w:pPr>
      <w:r>
        <w:rPr>
          <w:rFonts w:hint="eastAsia" w:ascii="方正楷体_GBK" w:hAnsi="方正仿宋_GBK" w:eastAsia="方正楷体_GBK" w:cs="方正仿宋_GBK"/>
          <w:sz w:val="32"/>
          <w:szCs w:val="32"/>
        </w:rPr>
        <w:t>（二）社会保障卡的经办过程中存在服务标准、范围和事项不统一的问题。</w:t>
      </w:r>
    </w:p>
    <w:p w14:paraId="16ACEBD1">
      <w:pPr>
        <w:spacing w:line="58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随着社会保障事业的发展，江苏已形成“一网通办、异地可办、就近能办、全省同办”的便民服务新格局。截至2022年，全省共设立社会保障卡服务网点11956个，其中快速发卡网点9841个。但是，随着我国社会主要矛盾发生变化，信息化和城镇化发展进程的加速，目前现行的社会保障卡发行服务管理办法与落实措施在一定程度上与社会发展和人民的需求相比显现一定的滞后性和不足之处，现行有效的上位法及上级文件不足以规范和推广应用江苏实践，难以应对新事态下出现的新问题，造成了社会保障卡服务过程中存在着服务标准、服务范围不统一、服务事项不一致等情况。</w:t>
      </w:r>
    </w:p>
    <w:p w14:paraId="02DF7E2E">
      <w:pPr>
        <w:spacing w:line="580" w:lineRule="exact"/>
        <w:ind w:firstLine="640" w:firstLineChars="200"/>
        <w:jc w:val="left"/>
        <w:rPr>
          <w:rFonts w:hint="eastAsia" w:ascii="方正楷体_GBK" w:hAnsi="方正仿宋_GBK" w:eastAsia="方正楷体_GBK" w:cs="方正仿宋_GBK"/>
          <w:sz w:val="32"/>
          <w:szCs w:val="32"/>
        </w:rPr>
      </w:pPr>
      <w:r>
        <w:rPr>
          <w:rFonts w:hint="eastAsia" w:ascii="方正楷体_GBK" w:hAnsi="方正仿宋_GBK" w:eastAsia="方正楷体_GBK" w:cs="方正仿宋_GBK"/>
          <w:sz w:val="32"/>
          <w:szCs w:val="32"/>
        </w:rPr>
        <w:t>（三）新时代对社会保障事业的标准化工作提出了新要求。</w:t>
      </w:r>
    </w:p>
    <w:p w14:paraId="52F8689A">
      <w:pPr>
        <w:spacing w:line="58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江苏省“十四五”人力资源和社会保障发展规划》中指出，要加快推进社会保障卡“一卡通”服务，全面建立人社公共服务制度和标准体系，提升人社公共服务水平和群众满意度。党的二十大立足于中国式现代化战略布局和增进民生福祉、推进共同富裕的新时代要求，对社会保障工作作出了新的战略部署，要求健全覆盖全面、统筹城乡、公平统一、安全规范、可持续的多层次社会保障体系。</w:t>
      </w:r>
    </w:p>
    <w:p w14:paraId="1ED1B723">
      <w:pPr>
        <w:spacing w:line="580" w:lineRule="exact"/>
        <w:ind w:firstLine="640" w:firstLineChars="200"/>
        <w:jc w:val="left"/>
        <w:rPr>
          <w:rFonts w:hint="eastAsia" w:ascii="方正楷体_GBK" w:hAnsi="方正仿宋_GBK" w:eastAsia="方正楷体_GBK" w:cs="方正仿宋_GBK"/>
          <w:sz w:val="32"/>
          <w:szCs w:val="32"/>
        </w:rPr>
      </w:pPr>
      <w:r>
        <w:rPr>
          <w:rFonts w:hint="eastAsia" w:ascii="方正楷体_GBK" w:hAnsi="方正仿宋_GBK" w:eastAsia="方正楷体_GBK" w:cs="方正仿宋_GBK"/>
          <w:sz w:val="32"/>
          <w:szCs w:val="32"/>
        </w:rPr>
        <w:t>（四）部分省市已在规范化社会保障卡经办服务领域进行了先行先试。</w:t>
      </w:r>
    </w:p>
    <w:p w14:paraId="0861F248">
      <w:pPr>
        <w:spacing w:line="58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山东省地方标准《社会保障卡经办服务规范》对社会保障卡的术语和定义、网点设置、办卡、注销等做了规定，适用于山东行政区域内社会保障卡的线下服务。浙江省地方标准《银行办理社保经办业务服务指南》对银行办理社保经办业务的基本要求、合作程序、办理事项、经办规范等做了规定。江苏省人力资源和社会保障厅2020年印发了《江苏省社会保障卡业务经办规程（试行）》的通知，用于加强全省社会保障卡（含电子社保卡）管理及应用。为进一步规范和推动全省社会保障卡的经办服务水平，提升人民幸福感，江苏省人力资源和社会保障厅提出《社会保障卡经办服务规范》标准的申报。</w:t>
      </w:r>
    </w:p>
    <w:p w14:paraId="30987113">
      <w:pPr>
        <w:spacing w:line="58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《社会保障卡经办服务规范》的制定对于全省社会保障卡的实施和运行至关重要。</w:t>
      </w:r>
    </w:p>
    <w:p w14:paraId="6336B33A">
      <w:pPr>
        <w:spacing w:line="580" w:lineRule="exact"/>
        <w:ind w:firstLine="640" w:firstLineChars="200"/>
        <w:jc w:val="left"/>
        <w:rPr>
          <w:rFonts w:hint="eastAsia" w:ascii="方正仿宋_GBK" w:hAnsi="方正仿宋_GBK" w:eastAsia="方正仿宋_GBK" w:cs="方正仿宋_GBK"/>
          <w:sz w:val="32"/>
          <w:szCs w:val="32"/>
        </w:rPr>
      </w:pPr>
      <w:r>
        <w:rPr>
          <w:rFonts w:hint="eastAsia" w:ascii="方正楷体_GBK" w:hAnsi="方正仿宋_GBK" w:eastAsia="方正楷体_GBK" w:cs="方正仿宋_GBK"/>
          <w:sz w:val="32"/>
          <w:szCs w:val="32"/>
        </w:rPr>
        <w:t>（一）提高服务质效。</w:t>
      </w:r>
      <w:r>
        <w:rPr>
          <w:rFonts w:hint="eastAsia" w:ascii="方正仿宋_GBK" w:hAnsi="方正仿宋_GBK" w:eastAsia="方正仿宋_GBK" w:cs="方正仿宋_GBK"/>
          <w:sz w:val="32"/>
          <w:szCs w:val="32"/>
        </w:rPr>
        <w:t>社会保障卡作为一项重要的社会保障制度，其服务质量直接关系到人民群众的获得感和参与度。制定社会保障卡经办服务标准，可以规范服务流程，明确服务标准，提高服务质量，让人民群众享受更好的服务体验。</w:t>
      </w:r>
    </w:p>
    <w:p w14:paraId="4486A34B">
      <w:pPr>
        <w:spacing w:line="580" w:lineRule="exact"/>
        <w:ind w:firstLine="640" w:firstLineChars="200"/>
        <w:jc w:val="left"/>
        <w:rPr>
          <w:rFonts w:hint="eastAsia" w:ascii="方正仿宋_GBK" w:hAnsi="方正仿宋_GBK" w:eastAsia="方正仿宋_GBK" w:cs="方正仿宋_GBK"/>
          <w:sz w:val="32"/>
          <w:szCs w:val="32"/>
        </w:rPr>
      </w:pPr>
      <w:r>
        <w:rPr>
          <w:rFonts w:hint="eastAsia" w:ascii="方正楷体_GBK" w:hAnsi="方正仿宋_GBK" w:eastAsia="方正楷体_GBK" w:cs="方正仿宋_GBK"/>
          <w:sz w:val="32"/>
          <w:szCs w:val="32"/>
        </w:rPr>
        <w:t>（二）保障信息安全。</w:t>
      </w:r>
      <w:r>
        <w:rPr>
          <w:rFonts w:hint="eastAsia" w:ascii="方正仿宋_GBK" w:hAnsi="方正仿宋_GBK" w:eastAsia="方正仿宋_GBK" w:cs="方正仿宋_GBK"/>
          <w:sz w:val="32"/>
          <w:szCs w:val="32"/>
        </w:rPr>
        <w:t>社会保障卡涉及到个人敏感信息的存储和使用，其信息安全问题需要得到高度重视。制定服务标准可以明确服务范围，规范服务流程，保障信息的安全性和保密性，防止信息泄露和不当使用。</w:t>
      </w:r>
    </w:p>
    <w:p w14:paraId="7C334B4F">
      <w:pPr>
        <w:spacing w:line="580" w:lineRule="exact"/>
        <w:ind w:firstLine="640" w:firstLineChars="200"/>
        <w:jc w:val="left"/>
        <w:rPr>
          <w:rFonts w:hint="eastAsia" w:ascii="方正仿宋_GBK" w:hAnsi="方正仿宋_GBK" w:eastAsia="方正仿宋_GBK" w:cs="方正仿宋_GBK"/>
          <w:sz w:val="32"/>
          <w:szCs w:val="32"/>
        </w:rPr>
      </w:pPr>
      <w:r>
        <w:rPr>
          <w:rFonts w:hint="eastAsia" w:ascii="方正楷体_GBK" w:hAnsi="方正仿宋_GBK" w:eastAsia="方正楷体_GBK" w:cs="方正仿宋_GBK"/>
          <w:sz w:val="32"/>
          <w:szCs w:val="32"/>
        </w:rPr>
        <w:t>（三）加强业务指导。</w:t>
      </w:r>
      <w:r>
        <w:rPr>
          <w:rFonts w:hint="eastAsia" w:ascii="方正仿宋_GBK" w:hAnsi="方正仿宋_GBK" w:eastAsia="方正仿宋_GBK" w:cs="方正仿宋_GBK"/>
          <w:sz w:val="32"/>
          <w:szCs w:val="32"/>
        </w:rPr>
        <w:t>人力资源社会保障部门服务网点和合作机构业务经办网点的业务发展时间有长短、工作模式不一致，合作程度有差异。社会保障卡经办服务标准的制定有助于服务规范化和标准化的提升。</w:t>
      </w:r>
    </w:p>
    <w:p w14:paraId="14676844">
      <w:pPr>
        <w:spacing w:line="580" w:lineRule="exact"/>
        <w:ind w:firstLine="640" w:firstLineChars="200"/>
        <w:jc w:val="left"/>
        <w:rPr>
          <w:rFonts w:hint="eastAsia" w:ascii="方正仿宋_GBK" w:hAnsi="方正仿宋_GBK" w:eastAsia="方正仿宋_GBK" w:cs="方正仿宋_GBK"/>
          <w:sz w:val="32"/>
          <w:szCs w:val="32"/>
        </w:rPr>
      </w:pPr>
      <w:r>
        <w:rPr>
          <w:rFonts w:hint="eastAsia" w:ascii="方正楷体_GBK" w:hAnsi="方正仿宋_GBK" w:eastAsia="方正楷体_GBK" w:cs="方正仿宋_GBK"/>
          <w:sz w:val="32"/>
          <w:szCs w:val="32"/>
        </w:rPr>
        <w:t>（四）强化监管和责任。</w:t>
      </w:r>
      <w:r>
        <w:rPr>
          <w:rFonts w:hint="eastAsia" w:ascii="方正仿宋_GBK" w:hAnsi="方正仿宋_GBK" w:eastAsia="方正仿宋_GBK" w:cs="方正仿宋_GBK"/>
          <w:sz w:val="32"/>
          <w:szCs w:val="32"/>
        </w:rPr>
        <w:t>社会保障卡的实施需要各级政府和社会保障机构的积极参与和配合。制定服务标准可以明确各方的责任和监管要求，加强对社会保障卡制度实施的监督和管理，确保制度的全面落实和有效运行。</w:t>
      </w:r>
    </w:p>
    <w:p w14:paraId="5E17AF66">
      <w:pPr>
        <w:spacing w:line="58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二、任务来源</w:t>
      </w:r>
    </w:p>
    <w:p w14:paraId="0F7824AA">
      <w:pPr>
        <w:spacing w:line="58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2023年8月4日，江苏省市场监督管理局发布《关于下达2023年度江苏省地方标准项目计划的通知》（苏市监标〔2023〕173号），确定2023年度江苏省地方标准制定项目计划的第36项为《社会保障卡经办服务规范》。</w:t>
      </w:r>
    </w:p>
    <w:p w14:paraId="4DB0CCD2">
      <w:pPr>
        <w:spacing w:line="58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本项目由江苏省人力资源和社会保障厅提出、归口并组织实施，南京市人力资源和社会保障信息管理中心、江苏省人力资源和社会保障信息中心联合研制，项目来源明确。</w:t>
      </w:r>
    </w:p>
    <w:p w14:paraId="12AE7C4B">
      <w:pPr>
        <w:spacing w:line="58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三、编制过程</w:t>
      </w:r>
    </w:p>
    <w:p w14:paraId="1686485C">
      <w:pPr>
        <w:spacing w:line="58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（一）调研阶段</w:t>
      </w:r>
    </w:p>
    <w:p w14:paraId="4AE30138">
      <w:pPr>
        <w:spacing w:line="58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标准立项后，成立标准起草组，制定标准编制计划，明确任务分工。</w:t>
      </w:r>
    </w:p>
    <w:p w14:paraId="3A296091">
      <w:pPr>
        <w:spacing w:line="58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2023年8月，起草组查阅收集相关法律法规、政策文件及标准等资料，同时多次走访人社部门和银行社会保障卡业务经办服务网点，综合各方意见，掌握实际现状。</w:t>
      </w:r>
    </w:p>
    <w:p w14:paraId="01BFCF7F">
      <w:pPr>
        <w:spacing w:line="58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（二）标准起草阶段</w:t>
      </w:r>
    </w:p>
    <w:p w14:paraId="5836EF3F">
      <w:pPr>
        <w:spacing w:line="58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w:t>
      </w:r>
      <w:r>
        <w:rPr>
          <w:rFonts w:ascii="方正仿宋_GBK" w:hAnsi="方正仿宋_GBK" w:eastAsia="方正仿宋_GBK" w:cs="方正仿宋_GBK"/>
          <w:sz w:val="32"/>
          <w:szCs w:val="32"/>
        </w:rPr>
        <w:t>023</w:t>
      </w:r>
      <w:r>
        <w:rPr>
          <w:rFonts w:hint="eastAsia" w:ascii="方正仿宋_GBK" w:hAnsi="方正仿宋_GBK" w:eastAsia="方正仿宋_GBK" w:cs="方正仿宋_GBK"/>
          <w:sz w:val="32"/>
          <w:szCs w:val="32"/>
        </w:rPr>
        <w:t>年9月，起草组多次召开研讨会，先后确定了标准编制的总体思路、标准框架结构以及标准主要技术内容，按照GB/T1.1-2020《标准化工作导则 第1部分:标准的结构和编写原则》对立项报批的标准草案进行修改，形成标准讨论稿，并组织专家对标准草案进行论证和研讨。2023年10-</w:t>
      </w:r>
      <w:r>
        <w:rPr>
          <w:rFonts w:ascii="方正仿宋_GBK" w:hAnsi="方正仿宋_GBK" w:eastAsia="方正仿宋_GBK" w:cs="方正仿宋_GBK"/>
          <w:sz w:val="32"/>
          <w:szCs w:val="32"/>
        </w:rPr>
        <w:t>12</w:t>
      </w:r>
      <w:r>
        <w:rPr>
          <w:rFonts w:hint="eastAsia" w:ascii="方正仿宋_GBK" w:hAnsi="方正仿宋_GBK" w:eastAsia="方正仿宋_GBK" w:cs="方正仿宋_GBK"/>
          <w:sz w:val="32"/>
          <w:szCs w:val="32"/>
        </w:rPr>
        <w:t>月，起草组根据专家意见，进一步搜集资料，完善标准。</w:t>
      </w:r>
    </w:p>
    <w:p w14:paraId="77142FE1">
      <w:pPr>
        <w:spacing w:line="58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（三）征求意见阶段</w:t>
      </w:r>
    </w:p>
    <w:p w14:paraId="7063080F">
      <w:pPr>
        <w:spacing w:line="58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202</w:t>
      </w:r>
      <w:r>
        <w:rPr>
          <w:rFonts w:ascii="方正仿宋_GBK" w:hAnsi="方正仿宋_GBK" w:eastAsia="方正仿宋_GBK" w:cs="方正仿宋_GBK"/>
          <w:sz w:val="32"/>
          <w:szCs w:val="32"/>
        </w:rPr>
        <w:t>4</w:t>
      </w:r>
      <w:r>
        <w:rPr>
          <w:rFonts w:hint="eastAsia" w:ascii="方正仿宋_GBK" w:hAnsi="方正仿宋_GBK" w:eastAsia="方正仿宋_GBK" w:cs="方正仿宋_GBK"/>
          <w:sz w:val="32"/>
          <w:szCs w:val="32"/>
        </w:rPr>
        <w:t>年1月，起草组对各方意见进行汇总处理，对标准文本进行修改完善，形成标准征求意见稿及编制说明。2024年1-3月，通过网站公开征求意见，并向省内12个地市人社部门发函征求意见。12家单位予以回函，其中10家单位无意见，2家单位提出4条意见。</w:t>
      </w:r>
    </w:p>
    <w:p w14:paraId="4997A209">
      <w:pPr>
        <w:spacing w:line="58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2024年5月，南京市人力资源和社会保障信息管理中心牵头组织专家召开标准预审查会议，邀请行业专家与标准编制专家参加，期间共收到24条意见。</w:t>
      </w:r>
    </w:p>
    <w:p w14:paraId="55C121B8">
      <w:pPr>
        <w:spacing w:line="58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2024年6月18日-7月17日，江苏省市场监督管理局官网对起草组完善的标准及编制说明向社会公开征求意见，期间未收到反馈意见。</w:t>
      </w:r>
    </w:p>
    <w:p w14:paraId="01D1384E">
      <w:pPr>
        <w:spacing w:line="58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2024年7月，起草组汇总处理收到的所有意见，共计28条意见，完全采纳25条，部分采纳1条，不采纳2条，对不采纳的意见给出理由，形成《江苏省地方标准征求意见汇总表》，修改完善标准内容，形成标准送审稿及标准编制说明。</w:t>
      </w:r>
    </w:p>
    <w:p w14:paraId="58DEBA0B">
      <w:pPr>
        <w:spacing w:line="58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整个编制过程中，起草组多次对标准的框架、主要技术内容进行研讨，逐章逐节的讨论标准细节，使标准的框架更加合理，层次更加清晰，内容更加充实和完善。</w:t>
      </w:r>
    </w:p>
    <w:p w14:paraId="22444442">
      <w:pPr>
        <w:spacing w:line="58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（四）审查阶段</w:t>
      </w:r>
    </w:p>
    <w:p w14:paraId="31BAE153">
      <w:pPr>
        <w:spacing w:line="58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2024年8月9日，江苏省市场监督管理局在南京组织召开标准评审会，专家组认真听取标准编制单位汇报，审阅了标准送审材料，逐条审查标准内容后，一致同意通过审查，并提出了完善意见。会后，编制组认真研究、采纳专家所有的意见和建议，修改完善标准本文，经专家确认后，形成报批稿。</w:t>
      </w:r>
    </w:p>
    <w:p w14:paraId="143F9517">
      <w:pPr>
        <w:spacing w:line="58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四、主要内容技术指标确立</w:t>
      </w:r>
    </w:p>
    <w:p w14:paraId="664758D0">
      <w:pPr>
        <w:spacing w:line="580" w:lineRule="exact"/>
        <w:ind w:firstLine="645"/>
        <w:jc w:val="left"/>
        <w:rPr>
          <w:rFonts w:hint="eastAsia" w:ascii="方正楷体_GBK" w:hAnsi="方正仿宋_GBK" w:eastAsia="方正楷体_GBK" w:cs="方正仿宋_GBK"/>
          <w:sz w:val="32"/>
          <w:szCs w:val="32"/>
        </w:rPr>
      </w:pPr>
      <w:r>
        <w:rPr>
          <w:rFonts w:hint="eastAsia" w:ascii="方正楷体_GBK" w:hAnsi="方正仿宋_GBK" w:eastAsia="方正楷体_GBK" w:cs="方正仿宋_GBK"/>
          <w:sz w:val="32"/>
          <w:szCs w:val="32"/>
        </w:rPr>
        <w:t>（一）标准编制原则</w:t>
      </w:r>
    </w:p>
    <w:p w14:paraId="5A270C03">
      <w:pPr>
        <w:spacing w:line="580" w:lineRule="exact"/>
        <w:ind w:firstLine="645"/>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1、规范性原则。按GB/T 1.1—2020《标准化工作导则 第1部分：标准化文件的结构和起草规则》的要求，用标准的语言和格式，对社会保障卡经办服务的服务流程和注意事项进行了规范性阐述。</w:t>
      </w:r>
    </w:p>
    <w:p w14:paraId="2704B0E0">
      <w:pPr>
        <w:spacing w:line="580" w:lineRule="exact"/>
        <w:ind w:firstLine="645"/>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2、适用性原则。文本简洁扼要，具体操作实用易行，既充分考虑不同管理模式和不同经办水平的客观实际，又充分考虑不同地区、不同级别社保经办机构业务的差异性。</w:t>
      </w:r>
    </w:p>
    <w:p w14:paraId="7A02366C">
      <w:pPr>
        <w:spacing w:line="580" w:lineRule="exact"/>
        <w:ind w:firstLine="645"/>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3、协调性原则。在标准结构、标准条款、标准要求等方面应与国家相关法律法规和规章制度以及国家标准、行业标准、地方标准相一致，充分体现标准协调性。</w:t>
      </w:r>
    </w:p>
    <w:p w14:paraId="41EEBE27">
      <w:pPr>
        <w:spacing w:line="580" w:lineRule="exact"/>
        <w:ind w:firstLine="645"/>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4、前瞻性原则。既考虑江苏省社会保障卡业务经办实际工作情况，又体现标准的先进性和引导性特点，以相关国家标准写作为基础，并参考其他地方省份的有关标准和参考文献， 充分考虑社保经办服务向基层延伸，提升服务能力，便利企业和群众办事的发展趋势，系统规范经办机构管理、业务流程和服务内容等，形成标准化体系。</w:t>
      </w:r>
    </w:p>
    <w:p w14:paraId="7F01ADD0">
      <w:pPr>
        <w:spacing w:line="580" w:lineRule="exact"/>
        <w:ind w:firstLine="645"/>
        <w:jc w:val="left"/>
        <w:rPr>
          <w:rFonts w:hint="eastAsia" w:ascii="方正楷体_GBK" w:hAnsi="方正仿宋_GBK" w:eastAsia="方正楷体_GBK" w:cs="方正仿宋_GBK"/>
          <w:sz w:val="32"/>
          <w:szCs w:val="32"/>
        </w:rPr>
      </w:pPr>
      <w:r>
        <w:rPr>
          <w:rFonts w:hint="eastAsia" w:ascii="方正楷体_GBK" w:hAnsi="方正仿宋_GBK" w:eastAsia="方正楷体_GBK" w:cs="方正仿宋_GBK"/>
          <w:sz w:val="32"/>
          <w:szCs w:val="32"/>
        </w:rPr>
        <w:t>（二）主要内容的确定依据</w:t>
      </w:r>
    </w:p>
    <w:p w14:paraId="7E7607FC">
      <w:pPr>
        <w:spacing w:line="580" w:lineRule="exact"/>
        <w:ind w:firstLine="645"/>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本标准共10章，其中主要技术内容包括社会保障卡业务经办服务的基本原则、服务方式、服务对象、基本要求、实体社会保障卡服务要求、电子社会保障卡服务要求及监督、评价与改进。</w:t>
      </w:r>
    </w:p>
    <w:p w14:paraId="111D3F78">
      <w:pPr>
        <w:spacing w:line="580" w:lineRule="exact"/>
        <w:ind w:firstLine="645"/>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1、“术语和定义”部分，主要引用了GB/T 41803.1《信息技术 社会保障卡生物特征识别应用系统 第1部分:通用要求》，给出了“社会保障卡”和“电子社保卡”的定义。</w:t>
      </w:r>
    </w:p>
    <w:p w14:paraId="7308A173">
      <w:pPr>
        <w:spacing w:line="580" w:lineRule="exact"/>
        <w:ind w:firstLine="645"/>
        <w:jc w:val="left"/>
        <w:rPr>
          <w:rFonts w:hint="eastAsia" w:ascii="方正仿宋_GBK" w:hAnsi="方正仿宋_GBK" w:eastAsia="方正仿宋_GBK" w:cs="方正仿宋_GBK"/>
          <w:sz w:val="32"/>
          <w:szCs w:val="32"/>
        </w:rPr>
      </w:pPr>
      <w:r>
        <w:rPr>
          <w:rFonts w:ascii="方正仿宋_GBK" w:hAnsi="方正仿宋_GBK" w:eastAsia="方正仿宋_GBK" w:cs="方正仿宋_GBK"/>
          <w:sz w:val="32"/>
          <w:szCs w:val="32"/>
        </w:rPr>
        <w:t>2</w:t>
      </w:r>
      <w:r>
        <w:rPr>
          <w:rFonts w:hint="eastAsia" w:ascii="方正仿宋_GBK" w:hAnsi="方正仿宋_GBK" w:eastAsia="方正仿宋_GBK" w:cs="方正仿宋_GBK"/>
          <w:sz w:val="32"/>
          <w:szCs w:val="32"/>
        </w:rPr>
        <w:t>、“基本原则”部分，参照《社会保险经办条例》（国务院令第765号）、《人力资源社会保障部办公厅关于推进社会保险经办管理服务标准化规范化便利化的意见》（人社厅发[2022]59号）以及《省人力资源社会保障厅关于印发江苏省社会保障卡业务经办规程（试行）的通知》（苏人社发[2020]150号），对社会保障卡经办服务提出了统一规范、协同高效、智慧安全和公平可及的基本要求。</w:t>
      </w:r>
    </w:p>
    <w:p w14:paraId="2A1887E2">
      <w:pPr>
        <w:spacing w:line="580" w:lineRule="exact"/>
        <w:ind w:firstLine="645"/>
        <w:jc w:val="left"/>
        <w:rPr>
          <w:rFonts w:hint="eastAsia" w:ascii="方正仿宋_GBK" w:hAnsi="方正仿宋_GBK" w:eastAsia="方正仿宋_GBK" w:cs="方正仿宋_GBK"/>
          <w:sz w:val="32"/>
          <w:szCs w:val="32"/>
        </w:rPr>
      </w:pPr>
      <w:r>
        <w:rPr>
          <w:rFonts w:ascii="方正仿宋_GBK" w:hAnsi="方正仿宋_GBK" w:eastAsia="方正仿宋_GBK" w:cs="方正仿宋_GBK"/>
          <w:sz w:val="32"/>
          <w:szCs w:val="32"/>
        </w:rPr>
        <w:t>3</w:t>
      </w:r>
      <w:r>
        <w:rPr>
          <w:rFonts w:hint="eastAsia" w:ascii="方正仿宋_GBK" w:hAnsi="方正仿宋_GBK" w:eastAsia="方正仿宋_GBK" w:cs="方正仿宋_GBK"/>
          <w:sz w:val="32"/>
          <w:szCs w:val="32"/>
        </w:rPr>
        <w:t>、“服务方式”部分对线上和线下的社会保障卡经办服务的常用方式进行了分类介绍。</w:t>
      </w:r>
    </w:p>
    <w:p w14:paraId="599DBD62">
      <w:pPr>
        <w:spacing w:line="580" w:lineRule="exact"/>
        <w:ind w:firstLine="645"/>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4、“服务对象”限定为申请办理社会保障卡相关业务的个人。</w:t>
      </w:r>
    </w:p>
    <w:p w14:paraId="0A219FCE">
      <w:pPr>
        <w:spacing w:line="580" w:lineRule="exact"/>
        <w:ind w:firstLine="645"/>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5、“基本要求”部分对服务提供者提出了建章立制、人员配备、人员素养以及服务内容公示等要求，以期对服务质量有所保障。</w:t>
      </w:r>
    </w:p>
    <w:p w14:paraId="79CADFBA">
      <w:pPr>
        <w:spacing w:line="580" w:lineRule="exact"/>
        <w:ind w:firstLine="645"/>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实体社会保障卡服务要求”和“电子社会保障卡服务要求”两章根据服务实际，分别对实体卡和电子卡的各种服务事项的办理要求做了规定。实体社会保障卡服务事项包括咨询、申请、受理、领取、功能激活、查询、密码管理、挂失、注销、回收和销毁。电子社会保障卡服务事项包括申领、解绑和密码管理。</w:t>
      </w:r>
    </w:p>
    <w:p w14:paraId="378F24C6">
      <w:pPr>
        <w:spacing w:line="580" w:lineRule="exact"/>
        <w:ind w:firstLine="645"/>
        <w:jc w:val="left"/>
        <w:rPr>
          <w:rFonts w:ascii="Times New Roman" w:hAnsi="Times New Roman" w:eastAsia="方正仿宋_GBK" w:cs="Times New Roman"/>
          <w:sz w:val="32"/>
          <w:szCs w:val="32"/>
        </w:rPr>
      </w:pPr>
      <w:r>
        <w:rPr>
          <w:rFonts w:hint="eastAsia" w:ascii="方正仿宋_GBK" w:hAnsi="方正仿宋_GBK" w:eastAsia="方正仿宋_GBK" w:cs="方正仿宋_GBK"/>
          <w:sz w:val="32"/>
          <w:szCs w:val="32"/>
        </w:rPr>
        <w:t>7、“监督、评价与改进”部分明确了监督和评价的对象、内容和方式，并提出了根据评价建议完善服务、提高服务效</w:t>
      </w:r>
      <w:r>
        <w:rPr>
          <w:rFonts w:ascii="Times New Roman" w:hAnsi="Times New Roman" w:eastAsia="方正仿宋_GBK" w:cs="Times New Roman"/>
          <w:sz w:val="32"/>
          <w:szCs w:val="32"/>
        </w:rPr>
        <w:t>能的要求，主要标准依据包括GB/T 39734、GB/T 39735和DB32/T 4660。</w:t>
      </w:r>
    </w:p>
    <w:p w14:paraId="4548DC65">
      <w:pPr>
        <w:spacing w:line="58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五、与相关法律法规和国家标准的关系</w:t>
      </w:r>
    </w:p>
    <w:p w14:paraId="173BD700">
      <w:pPr>
        <w:spacing w:line="580" w:lineRule="exact"/>
        <w:ind w:firstLine="645"/>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本标准符合我国相关法律法规及《中华人民共和国标准化法》要求，在满足相关国家标准要求基础上研制本标准，并与相应的国标、行标、地标相协调，与有关文件要求相一致。</w:t>
      </w:r>
    </w:p>
    <w:p w14:paraId="66D7ABE6">
      <w:pPr>
        <w:spacing w:line="58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六、重大分歧意见的处理过程和依据</w:t>
      </w:r>
    </w:p>
    <w:p w14:paraId="2BD51A70">
      <w:pPr>
        <w:spacing w:line="58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“无”。</w:t>
      </w:r>
    </w:p>
    <w:p w14:paraId="6DB3D956">
      <w:pPr>
        <w:spacing w:line="58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七、实施推广建议</w:t>
      </w:r>
    </w:p>
    <w:p w14:paraId="27A5BD3E">
      <w:pPr>
        <w:spacing w:line="580" w:lineRule="exact"/>
        <w:ind w:firstLine="645"/>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标准是由江苏省人力资源和社会保障厅提出、归口并组织实施。建议在江苏省人力资源和社会保障厅的大力支持和指导下，联合有关起草单位在全省社会保障卡经办业务机构开展宣贯，加强宣传，营造氛围，统筹规划，扎实推进，认真开展该标准的实施应用工作。对在标准实施过程中发现的问题及提出的意见，要进行深入探讨和研究，做好标准的修订和完善工作，确保以标准化促进人社事业健康发展取得成效。</w:t>
      </w:r>
    </w:p>
    <w:p w14:paraId="7203D9F2">
      <w:pPr>
        <w:spacing w:line="58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八、起草单位和起草人员信息及分工</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134"/>
        <w:gridCol w:w="2927"/>
        <w:gridCol w:w="1467"/>
        <w:gridCol w:w="2177"/>
      </w:tblGrid>
      <w:tr w14:paraId="1C79C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Align w:val="center"/>
          </w:tcPr>
          <w:p w14:paraId="04936277">
            <w:pPr>
              <w:keepNext w:val="0"/>
              <w:keepLines w:val="0"/>
              <w:pageBreakBefore w:val="0"/>
              <w:widowControl w:val="0"/>
              <w:kinsoku/>
              <w:wordWrap/>
              <w:overflowPunct/>
              <w:topLinePunct w:val="0"/>
              <w:bidi w:val="0"/>
              <w:snapToGrid/>
              <w:spacing w:line="500" w:lineRule="exact"/>
              <w:jc w:val="center"/>
              <w:textAlignment w:val="auto"/>
              <w:rPr>
                <w:rFonts w:ascii="Times New Roman" w:hAnsi="Times New Roman" w:eastAsia="方正仿宋_GBK" w:cs="Times New Roman"/>
                <w:b/>
                <w:bCs/>
                <w:sz w:val="28"/>
                <w:szCs w:val="28"/>
              </w:rPr>
            </w:pPr>
            <w:r>
              <w:rPr>
                <w:rFonts w:ascii="Times New Roman" w:hAnsi="Times New Roman" w:eastAsia="方正仿宋_GBK" w:cs="Times New Roman"/>
                <w:b/>
                <w:bCs/>
                <w:sz w:val="28"/>
                <w:szCs w:val="28"/>
              </w:rPr>
              <w:t>序号</w:t>
            </w:r>
          </w:p>
        </w:tc>
        <w:tc>
          <w:tcPr>
            <w:tcW w:w="1134" w:type="dxa"/>
            <w:vAlign w:val="center"/>
          </w:tcPr>
          <w:p w14:paraId="25351585">
            <w:pPr>
              <w:keepNext w:val="0"/>
              <w:keepLines w:val="0"/>
              <w:pageBreakBefore w:val="0"/>
              <w:widowControl w:val="0"/>
              <w:kinsoku/>
              <w:wordWrap/>
              <w:overflowPunct/>
              <w:topLinePunct w:val="0"/>
              <w:bidi w:val="0"/>
              <w:snapToGrid/>
              <w:spacing w:line="500" w:lineRule="exact"/>
              <w:jc w:val="center"/>
              <w:textAlignment w:val="auto"/>
              <w:rPr>
                <w:rFonts w:ascii="Times New Roman" w:hAnsi="Times New Roman" w:eastAsia="方正仿宋_GBK" w:cs="Times New Roman"/>
                <w:b/>
                <w:bCs/>
                <w:sz w:val="28"/>
                <w:szCs w:val="28"/>
              </w:rPr>
            </w:pPr>
            <w:r>
              <w:rPr>
                <w:rFonts w:ascii="Times New Roman" w:hAnsi="Times New Roman" w:eastAsia="方正仿宋_GBK" w:cs="Times New Roman"/>
                <w:b/>
                <w:bCs/>
                <w:sz w:val="28"/>
                <w:szCs w:val="28"/>
              </w:rPr>
              <w:t>姓名</w:t>
            </w:r>
          </w:p>
        </w:tc>
        <w:tc>
          <w:tcPr>
            <w:tcW w:w="2927" w:type="dxa"/>
            <w:vAlign w:val="center"/>
          </w:tcPr>
          <w:p w14:paraId="00876231">
            <w:pPr>
              <w:keepNext w:val="0"/>
              <w:keepLines w:val="0"/>
              <w:pageBreakBefore w:val="0"/>
              <w:widowControl w:val="0"/>
              <w:kinsoku/>
              <w:wordWrap/>
              <w:overflowPunct/>
              <w:topLinePunct w:val="0"/>
              <w:bidi w:val="0"/>
              <w:snapToGrid/>
              <w:spacing w:line="500" w:lineRule="exact"/>
              <w:jc w:val="center"/>
              <w:textAlignment w:val="auto"/>
              <w:rPr>
                <w:rFonts w:ascii="Times New Roman" w:hAnsi="Times New Roman" w:eastAsia="方正仿宋_GBK" w:cs="Times New Roman"/>
                <w:b/>
                <w:bCs/>
                <w:sz w:val="28"/>
                <w:szCs w:val="28"/>
              </w:rPr>
            </w:pPr>
            <w:r>
              <w:rPr>
                <w:rFonts w:ascii="Times New Roman" w:hAnsi="Times New Roman" w:eastAsia="方正仿宋_GBK" w:cs="Times New Roman"/>
                <w:b/>
                <w:bCs/>
                <w:sz w:val="28"/>
                <w:szCs w:val="28"/>
              </w:rPr>
              <w:t>单位</w:t>
            </w:r>
          </w:p>
        </w:tc>
        <w:tc>
          <w:tcPr>
            <w:tcW w:w="1467" w:type="dxa"/>
            <w:vAlign w:val="center"/>
          </w:tcPr>
          <w:p w14:paraId="64CEA13A">
            <w:pPr>
              <w:keepNext w:val="0"/>
              <w:keepLines w:val="0"/>
              <w:pageBreakBefore w:val="0"/>
              <w:widowControl w:val="0"/>
              <w:kinsoku/>
              <w:wordWrap/>
              <w:overflowPunct/>
              <w:topLinePunct w:val="0"/>
              <w:bidi w:val="0"/>
              <w:snapToGrid/>
              <w:spacing w:line="500" w:lineRule="exact"/>
              <w:jc w:val="center"/>
              <w:textAlignment w:val="auto"/>
              <w:rPr>
                <w:rFonts w:ascii="Times New Roman" w:hAnsi="Times New Roman" w:eastAsia="方正仿宋_GBK" w:cs="Times New Roman"/>
                <w:b/>
                <w:bCs/>
                <w:sz w:val="28"/>
                <w:szCs w:val="28"/>
              </w:rPr>
            </w:pPr>
            <w:r>
              <w:rPr>
                <w:rFonts w:ascii="Times New Roman" w:hAnsi="Times New Roman" w:eastAsia="方正仿宋_GBK" w:cs="Times New Roman"/>
                <w:b/>
                <w:bCs/>
                <w:sz w:val="28"/>
                <w:szCs w:val="28"/>
              </w:rPr>
              <w:t>职务/职称</w:t>
            </w:r>
          </w:p>
        </w:tc>
        <w:tc>
          <w:tcPr>
            <w:tcW w:w="2177" w:type="dxa"/>
            <w:vAlign w:val="center"/>
          </w:tcPr>
          <w:p w14:paraId="660C2D73">
            <w:pPr>
              <w:keepNext w:val="0"/>
              <w:keepLines w:val="0"/>
              <w:pageBreakBefore w:val="0"/>
              <w:widowControl w:val="0"/>
              <w:kinsoku/>
              <w:wordWrap/>
              <w:overflowPunct/>
              <w:topLinePunct w:val="0"/>
              <w:bidi w:val="0"/>
              <w:snapToGrid/>
              <w:spacing w:line="500" w:lineRule="exact"/>
              <w:jc w:val="center"/>
              <w:textAlignment w:val="auto"/>
              <w:rPr>
                <w:rFonts w:ascii="Times New Roman" w:hAnsi="Times New Roman" w:eastAsia="方正仿宋_GBK" w:cs="Times New Roman"/>
                <w:b/>
                <w:bCs/>
                <w:sz w:val="28"/>
                <w:szCs w:val="28"/>
              </w:rPr>
            </w:pPr>
            <w:r>
              <w:rPr>
                <w:rFonts w:ascii="Times New Roman" w:hAnsi="Times New Roman" w:eastAsia="方正仿宋_GBK" w:cs="Times New Roman"/>
                <w:b/>
                <w:bCs/>
                <w:sz w:val="28"/>
                <w:szCs w:val="28"/>
              </w:rPr>
              <w:t>项目分工</w:t>
            </w:r>
          </w:p>
        </w:tc>
      </w:tr>
      <w:tr w14:paraId="43A5C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810AA16">
            <w:pPr>
              <w:keepNext w:val="0"/>
              <w:keepLines w:val="0"/>
              <w:pageBreakBefore w:val="0"/>
              <w:widowControl w:val="0"/>
              <w:kinsoku/>
              <w:wordWrap/>
              <w:overflowPunct/>
              <w:topLinePunct w:val="0"/>
              <w:bidi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1</w:t>
            </w:r>
          </w:p>
        </w:tc>
        <w:tc>
          <w:tcPr>
            <w:tcW w:w="1134" w:type="dxa"/>
            <w:vAlign w:val="center"/>
          </w:tcPr>
          <w:p w14:paraId="0259CDAF">
            <w:pPr>
              <w:keepNext w:val="0"/>
              <w:keepLines w:val="0"/>
              <w:pageBreakBefore w:val="0"/>
              <w:widowControl w:val="0"/>
              <w:kinsoku/>
              <w:wordWrap/>
              <w:overflowPunct/>
              <w:topLinePunct w:val="0"/>
              <w:bidi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刘莉</w:t>
            </w:r>
          </w:p>
        </w:tc>
        <w:tc>
          <w:tcPr>
            <w:tcW w:w="2927" w:type="dxa"/>
            <w:vAlign w:val="center"/>
          </w:tcPr>
          <w:p w14:paraId="4A34752F">
            <w:pPr>
              <w:keepNext w:val="0"/>
              <w:keepLines w:val="0"/>
              <w:pageBreakBefore w:val="0"/>
              <w:widowControl w:val="0"/>
              <w:kinsoku/>
              <w:wordWrap/>
              <w:overflowPunct/>
              <w:topLinePunct w:val="0"/>
              <w:bidi w:val="0"/>
              <w:snapToGrid/>
              <w:spacing w:line="500" w:lineRule="exact"/>
              <w:jc w:val="left"/>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南京市人力资源和社会保障信息管理中心</w:t>
            </w:r>
          </w:p>
        </w:tc>
        <w:tc>
          <w:tcPr>
            <w:tcW w:w="1467" w:type="dxa"/>
            <w:vAlign w:val="center"/>
          </w:tcPr>
          <w:p w14:paraId="59807846">
            <w:pPr>
              <w:keepNext w:val="0"/>
              <w:keepLines w:val="0"/>
              <w:pageBreakBefore w:val="0"/>
              <w:widowControl w:val="0"/>
              <w:kinsoku/>
              <w:wordWrap/>
              <w:overflowPunct/>
              <w:topLinePunct w:val="0"/>
              <w:bidi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主任</w:t>
            </w:r>
          </w:p>
        </w:tc>
        <w:tc>
          <w:tcPr>
            <w:tcW w:w="2177" w:type="dxa"/>
            <w:vAlign w:val="center"/>
          </w:tcPr>
          <w:p w14:paraId="3092EB00">
            <w:pPr>
              <w:pStyle w:val="10"/>
              <w:keepNext w:val="0"/>
              <w:keepLines w:val="0"/>
              <w:pageBreakBefore w:val="0"/>
              <w:widowControl w:val="0"/>
              <w:kinsoku/>
              <w:wordWrap/>
              <w:overflowPunct/>
              <w:topLinePunct w:val="0"/>
              <w:bidi w:val="0"/>
              <w:snapToGrid/>
              <w:spacing w:line="500" w:lineRule="exact"/>
              <w:textAlignment w:val="auto"/>
              <w:rPr>
                <w:rFonts w:ascii="Times New Roman" w:hAnsi="Times New Roman" w:eastAsia="方正仿宋_GBK" w:cs="Times New Roman"/>
                <w:sz w:val="28"/>
                <w:szCs w:val="28"/>
              </w:rPr>
            </w:pPr>
            <w:r>
              <w:rPr>
                <w:rFonts w:ascii="Times New Roman" w:hAnsi="Times New Roman" w:eastAsia="方正仿宋_GBK" w:cs="Times New Roman"/>
                <w:color w:val="auto"/>
                <w:kern w:val="2"/>
                <w:sz w:val="28"/>
                <w:szCs w:val="28"/>
              </w:rPr>
              <w:t>统筹负责</w:t>
            </w:r>
            <w:r>
              <w:rPr>
                <w:rFonts w:hint="eastAsia" w:ascii="Times New Roman" w:hAnsi="Times New Roman" w:eastAsia="方正仿宋_GBK" w:cs="Times New Roman"/>
                <w:color w:val="auto"/>
                <w:kern w:val="2"/>
                <w:sz w:val="28"/>
                <w:szCs w:val="28"/>
              </w:rPr>
              <w:t>、</w:t>
            </w:r>
            <w:r>
              <w:rPr>
                <w:rFonts w:ascii="Times New Roman" w:hAnsi="Times New Roman" w:eastAsia="方正仿宋_GBK" w:cs="Times New Roman"/>
                <w:sz w:val="28"/>
                <w:szCs w:val="28"/>
              </w:rPr>
              <w:t>标准编制</w:t>
            </w:r>
          </w:p>
        </w:tc>
      </w:tr>
      <w:tr w14:paraId="4400E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9DAF464">
            <w:pPr>
              <w:keepNext w:val="0"/>
              <w:keepLines w:val="0"/>
              <w:pageBreakBefore w:val="0"/>
              <w:widowControl w:val="0"/>
              <w:kinsoku/>
              <w:wordWrap/>
              <w:overflowPunct/>
              <w:topLinePunct w:val="0"/>
              <w:bidi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2</w:t>
            </w:r>
          </w:p>
        </w:tc>
        <w:tc>
          <w:tcPr>
            <w:tcW w:w="1134" w:type="dxa"/>
            <w:vAlign w:val="center"/>
          </w:tcPr>
          <w:p w14:paraId="6FDE74FF">
            <w:pPr>
              <w:keepNext w:val="0"/>
              <w:keepLines w:val="0"/>
              <w:pageBreakBefore w:val="0"/>
              <w:widowControl w:val="0"/>
              <w:kinsoku/>
              <w:wordWrap/>
              <w:overflowPunct/>
              <w:topLinePunct w:val="0"/>
              <w:bidi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曾炜</w:t>
            </w:r>
          </w:p>
        </w:tc>
        <w:tc>
          <w:tcPr>
            <w:tcW w:w="2927" w:type="dxa"/>
            <w:vAlign w:val="center"/>
          </w:tcPr>
          <w:p w14:paraId="443B3E37">
            <w:pPr>
              <w:keepNext w:val="0"/>
              <w:keepLines w:val="0"/>
              <w:pageBreakBefore w:val="0"/>
              <w:widowControl w:val="0"/>
              <w:kinsoku/>
              <w:wordWrap/>
              <w:overflowPunct/>
              <w:topLinePunct w:val="0"/>
              <w:bidi w:val="0"/>
              <w:snapToGrid/>
              <w:spacing w:line="500" w:lineRule="exact"/>
              <w:jc w:val="left"/>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南京市人力资源和社会保障信息管理中心</w:t>
            </w:r>
          </w:p>
        </w:tc>
        <w:tc>
          <w:tcPr>
            <w:tcW w:w="1467" w:type="dxa"/>
            <w:vAlign w:val="center"/>
          </w:tcPr>
          <w:p w14:paraId="2FCEAD42">
            <w:pPr>
              <w:keepNext w:val="0"/>
              <w:keepLines w:val="0"/>
              <w:pageBreakBefore w:val="0"/>
              <w:widowControl w:val="0"/>
              <w:kinsoku/>
              <w:wordWrap/>
              <w:overflowPunct/>
              <w:topLinePunct w:val="0"/>
              <w:bidi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副主任</w:t>
            </w:r>
          </w:p>
        </w:tc>
        <w:tc>
          <w:tcPr>
            <w:tcW w:w="2177" w:type="dxa"/>
            <w:vAlign w:val="center"/>
          </w:tcPr>
          <w:p w14:paraId="26D97852">
            <w:pPr>
              <w:keepNext w:val="0"/>
              <w:keepLines w:val="0"/>
              <w:pageBreakBefore w:val="0"/>
              <w:widowControl w:val="0"/>
              <w:kinsoku/>
              <w:wordWrap/>
              <w:overflowPunct/>
              <w:topLinePunct w:val="0"/>
              <w:bidi w:val="0"/>
              <w:snapToGrid/>
              <w:spacing w:line="500" w:lineRule="exact"/>
              <w:jc w:val="left"/>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把握业务政策</w:t>
            </w:r>
          </w:p>
        </w:tc>
      </w:tr>
      <w:tr w14:paraId="562A0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22FF34E">
            <w:pPr>
              <w:keepNext w:val="0"/>
              <w:keepLines w:val="0"/>
              <w:pageBreakBefore w:val="0"/>
              <w:widowControl w:val="0"/>
              <w:kinsoku/>
              <w:wordWrap/>
              <w:overflowPunct/>
              <w:topLinePunct w:val="0"/>
              <w:bidi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3</w:t>
            </w:r>
          </w:p>
        </w:tc>
        <w:tc>
          <w:tcPr>
            <w:tcW w:w="1134" w:type="dxa"/>
            <w:vAlign w:val="center"/>
          </w:tcPr>
          <w:p w14:paraId="3495DEE3">
            <w:pPr>
              <w:keepNext w:val="0"/>
              <w:keepLines w:val="0"/>
              <w:pageBreakBefore w:val="0"/>
              <w:widowControl w:val="0"/>
              <w:kinsoku/>
              <w:wordWrap/>
              <w:overflowPunct/>
              <w:topLinePunct w:val="0"/>
              <w:bidi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张静纯</w:t>
            </w:r>
          </w:p>
        </w:tc>
        <w:tc>
          <w:tcPr>
            <w:tcW w:w="2927" w:type="dxa"/>
            <w:vAlign w:val="center"/>
          </w:tcPr>
          <w:p w14:paraId="74948580">
            <w:pPr>
              <w:keepNext w:val="0"/>
              <w:keepLines w:val="0"/>
              <w:pageBreakBefore w:val="0"/>
              <w:widowControl w:val="0"/>
              <w:kinsoku/>
              <w:wordWrap/>
              <w:overflowPunct/>
              <w:topLinePunct w:val="0"/>
              <w:bidi w:val="0"/>
              <w:snapToGrid/>
              <w:spacing w:line="500" w:lineRule="exact"/>
              <w:jc w:val="left"/>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南京市人力资源和社会保障信息管理中心</w:t>
            </w:r>
          </w:p>
        </w:tc>
        <w:tc>
          <w:tcPr>
            <w:tcW w:w="1467" w:type="dxa"/>
            <w:vAlign w:val="center"/>
          </w:tcPr>
          <w:p w14:paraId="00D273F1">
            <w:pPr>
              <w:keepNext w:val="0"/>
              <w:keepLines w:val="0"/>
              <w:pageBreakBefore w:val="0"/>
              <w:widowControl w:val="0"/>
              <w:kinsoku/>
              <w:wordWrap/>
              <w:overflowPunct/>
              <w:topLinePunct w:val="0"/>
              <w:bidi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副主任</w:t>
            </w:r>
          </w:p>
        </w:tc>
        <w:tc>
          <w:tcPr>
            <w:tcW w:w="2177" w:type="dxa"/>
            <w:vAlign w:val="center"/>
          </w:tcPr>
          <w:p w14:paraId="24B6A285">
            <w:pPr>
              <w:keepNext w:val="0"/>
              <w:keepLines w:val="0"/>
              <w:pageBreakBefore w:val="0"/>
              <w:widowControl w:val="0"/>
              <w:kinsoku/>
              <w:wordWrap/>
              <w:overflowPunct/>
              <w:topLinePunct w:val="0"/>
              <w:bidi w:val="0"/>
              <w:snapToGrid/>
              <w:spacing w:line="500" w:lineRule="exact"/>
              <w:jc w:val="left"/>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指导标准编制</w:t>
            </w:r>
          </w:p>
        </w:tc>
      </w:tr>
      <w:tr w14:paraId="6F601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817" w:type="dxa"/>
            <w:vAlign w:val="center"/>
          </w:tcPr>
          <w:p w14:paraId="42CF644F">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4</w:t>
            </w:r>
          </w:p>
        </w:tc>
        <w:tc>
          <w:tcPr>
            <w:tcW w:w="1134" w:type="dxa"/>
            <w:vAlign w:val="center"/>
          </w:tcPr>
          <w:p w14:paraId="29480B5C">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郭宁</w:t>
            </w:r>
          </w:p>
        </w:tc>
        <w:tc>
          <w:tcPr>
            <w:tcW w:w="2927" w:type="dxa"/>
            <w:vAlign w:val="center"/>
          </w:tcPr>
          <w:p w14:paraId="4BE8880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南京市人力资源和社会保障信息管理中心</w:t>
            </w:r>
          </w:p>
        </w:tc>
        <w:tc>
          <w:tcPr>
            <w:tcW w:w="1467" w:type="dxa"/>
            <w:vAlign w:val="center"/>
          </w:tcPr>
          <w:p w14:paraId="32B7A347">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副主任</w:t>
            </w:r>
          </w:p>
        </w:tc>
        <w:tc>
          <w:tcPr>
            <w:tcW w:w="2177" w:type="dxa"/>
            <w:vAlign w:val="center"/>
          </w:tcPr>
          <w:p w14:paraId="49FFA4BF">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指导标准编制</w:t>
            </w:r>
          </w:p>
        </w:tc>
      </w:tr>
      <w:tr w14:paraId="754DA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817" w:type="dxa"/>
            <w:vAlign w:val="center"/>
          </w:tcPr>
          <w:p w14:paraId="5483493F">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5</w:t>
            </w:r>
          </w:p>
        </w:tc>
        <w:tc>
          <w:tcPr>
            <w:tcW w:w="1134" w:type="dxa"/>
            <w:vAlign w:val="center"/>
          </w:tcPr>
          <w:p w14:paraId="4B9DE7DA">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任鹏</w:t>
            </w:r>
          </w:p>
        </w:tc>
        <w:tc>
          <w:tcPr>
            <w:tcW w:w="2927" w:type="dxa"/>
            <w:vAlign w:val="center"/>
          </w:tcPr>
          <w:p w14:paraId="03D47A9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江苏省人力资源和社会保障信息中心</w:t>
            </w:r>
          </w:p>
        </w:tc>
        <w:tc>
          <w:tcPr>
            <w:tcW w:w="1467" w:type="dxa"/>
            <w:vAlign w:val="center"/>
          </w:tcPr>
          <w:p w14:paraId="097028B6">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副主任</w:t>
            </w:r>
          </w:p>
        </w:tc>
        <w:tc>
          <w:tcPr>
            <w:tcW w:w="2177" w:type="dxa"/>
            <w:vAlign w:val="center"/>
          </w:tcPr>
          <w:p w14:paraId="2ED67B8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业务指导、省内征求意见</w:t>
            </w:r>
          </w:p>
        </w:tc>
      </w:tr>
      <w:tr w14:paraId="47910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817" w:type="dxa"/>
            <w:vAlign w:val="center"/>
          </w:tcPr>
          <w:p w14:paraId="3E0E0413">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6</w:t>
            </w:r>
          </w:p>
        </w:tc>
        <w:tc>
          <w:tcPr>
            <w:tcW w:w="1134" w:type="dxa"/>
            <w:vAlign w:val="center"/>
          </w:tcPr>
          <w:p w14:paraId="3ABF2325">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肖可</w:t>
            </w:r>
          </w:p>
        </w:tc>
        <w:tc>
          <w:tcPr>
            <w:tcW w:w="2927" w:type="dxa"/>
            <w:vAlign w:val="center"/>
          </w:tcPr>
          <w:p w14:paraId="51B41EE7">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江苏省人力资源和社会保障信息中心</w:t>
            </w:r>
          </w:p>
        </w:tc>
        <w:tc>
          <w:tcPr>
            <w:tcW w:w="1467" w:type="dxa"/>
            <w:vAlign w:val="center"/>
          </w:tcPr>
          <w:p w14:paraId="0612634E">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副主任</w:t>
            </w:r>
          </w:p>
        </w:tc>
        <w:tc>
          <w:tcPr>
            <w:tcW w:w="2177" w:type="dxa"/>
            <w:vAlign w:val="center"/>
          </w:tcPr>
          <w:p w14:paraId="0A78639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业务指导</w:t>
            </w:r>
          </w:p>
        </w:tc>
      </w:tr>
      <w:tr w14:paraId="5FFFD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817" w:type="dxa"/>
            <w:vAlign w:val="center"/>
          </w:tcPr>
          <w:p w14:paraId="20BDCF65">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7</w:t>
            </w:r>
          </w:p>
        </w:tc>
        <w:tc>
          <w:tcPr>
            <w:tcW w:w="1134" w:type="dxa"/>
            <w:vAlign w:val="center"/>
          </w:tcPr>
          <w:p w14:paraId="2CCA2963">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高明</w:t>
            </w:r>
          </w:p>
        </w:tc>
        <w:tc>
          <w:tcPr>
            <w:tcW w:w="2927" w:type="dxa"/>
            <w:vAlign w:val="center"/>
          </w:tcPr>
          <w:p w14:paraId="62A290AE">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南京市人力资源和社会保障信息管理中心</w:t>
            </w:r>
          </w:p>
        </w:tc>
        <w:tc>
          <w:tcPr>
            <w:tcW w:w="1467" w:type="dxa"/>
            <w:vAlign w:val="center"/>
          </w:tcPr>
          <w:p w14:paraId="11955BA0">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科长</w:t>
            </w:r>
          </w:p>
        </w:tc>
        <w:tc>
          <w:tcPr>
            <w:tcW w:w="2177" w:type="dxa"/>
            <w:vAlign w:val="center"/>
          </w:tcPr>
          <w:p w14:paraId="29E8B8A2">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协调标准相关单位</w:t>
            </w:r>
          </w:p>
        </w:tc>
      </w:tr>
      <w:tr w14:paraId="7A91F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817" w:type="dxa"/>
            <w:vAlign w:val="center"/>
          </w:tcPr>
          <w:p w14:paraId="75206794">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8</w:t>
            </w:r>
          </w:p>
        </w:tc>
        <w:tc>
          <w:tcPr>
            <w:tcW w:w="1134" w:type="dxa"/>
            <w:vAlign w:val="center"/>
          </w:tcPr>
          <w:p w14:paraId="77329FDC">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程家骐</w:t>
            </w:r>
          </w:p>
        </w:tc>
        <w:tc>
          <w:tcPr>
            <w:tcW w:w="2927" w:type="dxa"/>
            <w:vAlign w:val="center"/>
          </w:tcPr>
          <w:p w14:paraId="6C2BA7F1">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南京市人力资源和社会保障信息管理中心</w:t>
            </w:r>
          </w:p>
        </w:tc>
        <w:tc>
          <w:tcPr>
            <w:tcW w:w="1467" w:type="dxa"/>
            <w:vAlign w:val="center"/>
          </w:tcPr>
          <w:p w14:paraId="61D6AD7A">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副科长</w:t>
            </w:r>
          </w:p>
        </w:tc>
        <w:tc>
          <w:tcPr>
            <w:tcW w:w="2177" w:type="dxa"/>
            <w:vAlign w:val="center"/>
          </w:tcPr>
          <w:p w14:paraId="03CA14F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标准草案编制</w:t>
            </w:r>
          </w:p>
        </w:tc>
      </w:tr>
      <w:tr w14:paraId="0734A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817" w:type="dxa"/>
            <w:vAlign w:val="center"/>
          </w:tcPr>
          <w:p w14:paraId="4D0D4F74">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9</w:t>
            </w:r>
          </w:p>
        </w:tc>
        <w:tc>
          <w:tcPr>
            <w:tcW w:w="1134" w:type="dxa"/>
            <w:vAlign w:val="center"/>
          </w:tcPr>
          <w:p w14:paraId="12ADF13B">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魏凯</w:t>
            </w:r>
          </w:p>
        </w:tc>
        <w:tc>
          <w:tcPr>
            <w:tcW w:w="2927" w:type="dxa"/>
            <w:vAlign w:val="center"/>
          </w:tcPr>
          <w:p w14:paraId="360C20F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南京市人力资源和社会保障信息管理中心</w:t>
            </w:r>
          </w:p>
        </w:tc>
        <w:tc>
          <w:tcPr>
            <w:tcW w:w="1467" w:type="dxa"/>
            <w:vAlign w:val="center"/>
          </w:tcPr>
          <w:p w14:paraId="0A59E7AC">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科长</w:t>
            </w:r>
          </w:p>
        </w:tc>
        <w:tc>
          <w:tcPr>
            <w:tcW w:w="2177" w:type="dxa"/>
            <w:vAlign w:val="center"/>
          </w:tcPr>
          <w:p w14:paraId="3619649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标准草案编制</w:t>
            </w:r>
          </w:p>
        </w:tc>
      </w:tr>
      <w:tr w14:paraId="09DEF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817" w:type="dxa"/>
            <w:vAlign w:val="center"/>
          </w:tcPr>
          <w:p w14:paraId="09785E93">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10</w:t>
            </w:r>
          </w:p>
        </w:tc>
        <w:tc>
          <w:tcPr>
            <w:tcW w:w="1134" w:type="dxa"/>
            <w:vAlign w:val="center"/>
          </w:tcPr>
          <w:p w14:paraId="69D0D364">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郭宏军</w:t>
            </w:r>
          </w:p>
        </w:tc>
        <w:tc>
          <w:tcPr>
            <w:tcW w:w="2927" w:type="dxa"/>
            <w:vAlign w:val="center"/>
          </w:tcPr>
          <w:p w14:paraId="0B4A80B1">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南京市人力资源和社会保障信息管理中心</w:t>
            </w:r>
          </w:p>
        </w:tc>
        <w:tc>
          <w:tcPr>
            <w:tcW w:w="1467" w:type="dxa"/>
            <w:vAlign w:val="center"/>
          </w:tcPr>
          <w:p w14:paraId="4437C637">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副科长</w:t>
            </w:r>
          </w:p>
        </w:tc>
        <w:tc>
          <w:tcPr>
            <w:tcW w:w="2177" w:type="dxa"/>
            <w:vAlign w:val="center"/>
          </w:tcPr>
          <w:p w14:paraId="2ABC038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标准草案编制</w:t>
            </w:r>
          </w:p>
        </w:tc>
      </w:tr>
      <w:tr w14:paraId="55428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817" w:type="dxa"/>
            <w:vAlign w:val="center"/>
          </w:tcPr>
          <w:p w14:paraId="4AE85625">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11</w:t>
            </w:r>
          </w:p>
        </w:tc>
        <w:tc>
          <w:tcPr>
            <w:tcW w:w="1134" w:type="dxa"/>
            <w:vAlign w:val="center"/>
          </w:tcPr>
          <w:p w14:paraId="4E3DB26A">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徐文西</w:t>
            </w:r>
          </w:p>
        </w:tc>
        <w:tc>
          <w:tcPr>
            <w:tcW w:w="2927" w:type="dxa"/>
            <w:vAlign w:val="center"/>
          </w:tcPr>
          <w:p w14:paraId="2FF278B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南京市人力资源和社会保障信息管理中心</w:t>
            </w:r>
          </w:p>
        </w:tc>
        <w:tc>
          <w:tcPr>
            <w:tcW w:w="1467" w:type="dxa"/>
            <w:vAlign w:val="center"/>
          </w:tcPr>
          <w:p w14:paraId="040D7653">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八级职员</w:t>
            </w:r>
          </w:p>
        </w:tc>
        <w:tc>
          <w:tcPr>
            <w:tcW w:w="2177" w:type="dxa"/>
            <w:vAlign w:val="center"/>
          </w:tcPr>
          <w:p w14:paraId="1380F4F8">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相关资料收集整理</w:t>
            </w:r>
          </w:p>
        </w:tc>
      </w:tr>
      <w:tr w14:paraId="0CD2C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817" w:type="dxa"/>
            <w:vAlign w:val="center"/>
          </w:tcPr>
          <w:p w14:paraId="73F5C9C2">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12</w:t>
            </w:r>
          </w:p>
        </w:tc>
        <w:tc>
          <w:tcPr>
            <w:tcW w:w="1134" w:type="dxa"/>
            <w:vAlign w:val="center"/>
          </w:tcPr>
          <w:p w14:paraId="374A197A">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王子彦</w:t>
            </w:r>
          </w:p>
        </w:tc>
        <w:tc>
          <w:tcPr>
            <w:tcW w:w="2927" w:type="dxa"/>
            <w:vAlign w:val="center"/>
          </w:tcPr>
          <w:p w14:paraId="30C03CDB">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南京市人力资源和社会保障信息管理中心</w:t>
            </w:r>
          </w:p>
        </w:tc>
        <w:tc>
          <w:tcPr>
            <w:tcW w:w="1467" w:type="dxa"/>
            <w:vAlign w:val="center"/>
          </w:tcPr>
          <w:p w14:paraId="59EB67BD">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副科长</w:t>
            </w:r>
          </w:p>
        </w:tc>
        <w:tc>
          <w:tcPr>
            <w:tcW w:w="2177" w:type="dxa"/>
            <w:vAlign w:val="center"/>
          </w:tcPr>
          <w:p w14:paraId="527926CF">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参与调研、标准修改</w:t>
            </w:r>
          </w:p>
        </w:tc>
      </w:tr>
      <w:tr w14:paraId="0E316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817" w:type="dxa"/>
            <w:vAlign w:val="center"/>
          </w:tcPr>
          <w:p w14:paraId="0D0AFEDB">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13</w:t>
            </w:r>
          </w:p>
        </w:tc>
        <w:tc>
          <w:tcPr>
            <w:tcW w:w="1134" w:type="dxa"/>
            <w:vAlign w:val="center"/>
          </w:tcPr>
          <w:p w14:paraId="79DFC6FC">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洪霞</w:t>
            </w:r>
          </w:p>
        </w:tc>
        <w:tc>
          <w:tcPr>
            <w:tcW w:w="2927" w:type="dxa"/>
            <w:vAlign w:val="center"/>
          </w:tcPr>
          <w:p w14:paraId="18E1B0E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南京市人力资源和社会保障信息管理中心</w:t>
            </w:r>
          </w:p>
        </w:tc>
        <w:tc>
          <w:tcPr>
            <w:tcW w:w="1467" w:type="dxa"/>
            <w:vAlign w:val="center"/>
          </w:tcPr>
          <w:p w14:paraId="254D45D9">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副高级工程师</w:t>
            </w:r>
          </w:p>
        </w:tc>
        <w:tc>
          <w:tcPr>
            <w:tcW w:w="2177" w:type="dxa"/>
            <w:vAlign w:val="center"/>
          </w:tcPr>
          <w:p w14:paraId="026C422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参与调研、标准修改</w:t>
            </w:r>
          </w:p>
        </w:tc>
      </w:tr>
      <w:tr w14:paraId="5A9EC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817" w:type="dxa"/>
            <w:vAlign w:val="center"/>
          </w:tcPr>
          <w:p w14:paraId="18F1A3CA">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14</w:t>
            </w:r>
          </w:p>
        </w:tc>
        <w:tc>
          <w:tcPr>
            <w:tcW w:w="1134" w:type="dxa"/>
            <w:vAlign w:val="center"/>
          </w:tcPr>
          <w:p w14:paraId="0925394E">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王少华</w:t>
            </w:r>
          </w:p>
        </w:tc>
        <w:tc>
          <w:tcPr>
            <w:tcW w:w="2927" w:type="dxa"/>
            <w:vAlign w:val="center"/>
          </w:tcPr>
          <w:p w14:paraId="74140C4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南京市人力资源和社会保障信息管理中心</w:t>
            </w:r>
          </w:p>
        </w:tc>
        <w:tc>
          <w:tcPr>
            <w:tcW w:w="1467" w:type="dxa"/>
            <w:vAlign w:val="center"/>
          </w:tcPr>
          <w:p w14:paraId="4028AAD5">
            <w:pPr>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科员</w:t>
            </w:r>
          </w:p>
        </w:tc>
        <w:tc>
          <w:tcPr>
            <w:tcW w:w="2177" w:type="dxa"/>
            <w:vAlign w:val="center"/>
          </w:tcPr>
          <w:p w14:paraId="732E848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ascii="Times New Roman" w:hAnsi="Times New Roman" w:eastAsia="方正仿宋_GBK" w:cs="Times New Roman"/>
                <w:sz w:val="28"/>
                <w:szCs w:val="28"/>
              </w:rPr>
            </w:pPr>
            <w:r>
              <w:rPr>
                <w:rFonts w:ascii="Times New Roman" w:hAnsi="Times New Roman" w:eastAsia="方正仿宋_GBK" w:cs="Times New Roman"/>
                <w:sz w:val="28"/>
                <w:szCs w:val="28"/>
              </w:rPr>
              <w:t>征求意见汇总处理</w:t>
            </w:r>
          </w:p>
        </w:tc>
      </w:tr>
    </w:tbl>
    <w:p w14:paraId="75DB1B39">
      <w:pPr>
        <w:spacing w:line="580" w:lineRule="exact"/>
        <w:jc w:val="left"/>
        <w:rPr>
          <w:rFonts w:hint="eastAsia" w:ascii="方正仿宋_GBK" w:hAnsi="方正仿宋_GBK" w:eastAsia="方正仿宋_GBK" w:cs="方正仿宋_GBK"/>
          <w:sz w:val="32"/>
          <w:szCs w:val="32"/>
        </w:rPr>
      </w:pPr>
    </w:p>
    <w:p w14:paraId="17CE829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wiss"/>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5235268"/>
      <w:docPartObj>
        <w:docPartGallery w:val="AutoText"/>
      </w:docPartObj>
    </w:sdtPr>
    <w:sdtContent>
      <w:p w14:paraId="79FC3B30">
        <w:pPr>
          <w:pStyle w:val="3"/>
          <w:jc w:val="center"/>
        </w:pPr>
        <w:r>
          <w:fldChar w:fldCharType="begin"/>
        </w:r>
        <w:r>
          <w:instrText xml:space="preserve">PAGE   \* MERGEFORMAT</w:instrText>
        </w:r>
        <w:r>
          <w:fldChar w:fldCharType="separate"/>
        </w:r>
        <w:r>
          <w:rPr>
            <w:lang w:val="zh-CN"/>
          </w:rPr>
          <w:t>2</w:t>
        </w:r>
        <w:r>
          <w:fldChar w:fldCharType="end"/>
        </w:r>
      </w:p>
    </w:sdtContent>
  </w:sdt>
  <w:p w14:paraId="5EEC5D38">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hhODk0MzcwZmRiNzk2N2NkMzY5MDIyZjNmMjc3YjEifQ=="/>
  </w:docVars>
  <w:rsids>
    <w:rsidRoot w:val="00993607"/>
    <w:rsid w:val="00016A39"/>
    <w:rsid w:val="0002207F"/>
    <w:rsid w:val="00026CF4"/>
    <w:rsid w:val="00040B03"/>
    <w:rsid w:val="00064266"/>
    <w:rsid w:val="00070420"/>
    <w:rsid w:val="000A34AD"/>
    <w:rsid w:val="00114CAE"/>
    <w:rsid w:val="001161D2"/>
    <w:rsid w:val="00133378"/>
    <w:rsid w:val="00236845"/>
    <w:rsid w:val="002B435F"/>
    <w:rsid w:val="002E116A"/>
    <w:rsid w:val="002F5A2C"/>
    <w:rsid w:val="003155E1"/>
    <w:rsid w:val="0033599D"/>
    <w:rsid w:val="003E0CF1"/>
    <w:rsid w:val="003E1D6B"/>
    <w:rsid w:val="00484474"/>
    <w:rsid w:val="004B799A"/>
    <w:rsid w:val="004C7894"/>
    <w:rsid w:val="004E4442"/>
    <w:rsid w:val="005036BA"/>
    <w:rsid w:val="00583345"/>
    <w:rsid w:val="00611373"/>
    <w:rsid w:val="006557BA"/>
    <w:rsid w:val="00681A07"/>
    <w:rsid w:val="00687D40"/>
    <w:rsid w:val="006C6A61"/>
    <w:rsid w:val="006F4996"/>
    <w:rsid w:val="00702750"/>
    <w:rsid w:val="007373A0"/>
    <w:rsid w:val="00761651"/>
    <w:rsid w:val="007961B3"/>
    <w:rsid w:val="00826BF1"/>
    <w:rsid w:val="00833329"/>
    <w:rsid w:val="00840E12"/>
    <w:rsid w:val="0089385C"/>
    <w:rsid w:val="00966C76"/>
    <w:rsid w:val="00972E98"/>
    <w:rsid w:val="00993607"/>
    <w:rsid w:val="009B58CF"/>
    <w:rsid w:val="009C79C1"/>
    <w:rsid w:val="009E01E3"/>
    <w:rsid w:val="00A2386B"/>
    <w:rsid w:val="00A31220"/>
    <w:rsid w:val="00A51F16"/>
    <w:rsid w:val="00A841AD"/>
    <w:rsid w:val="00AA0E13"/>
    <w:rsid w:val="00AA6FEB"/>
    <w:rsid w:val="00AC0D00"/>
    <w:rsid w:val="00AE1608"/>
    <w:rsid w:val="00B01BD4"/>
    <w:rsid w:val="00BB2AE7"/>
    <w:rsid w:val="00BE1AC1"/>
    <w:rsid w:val="00BE338F"/>
    <w:rsid w:val="00BE7015"/>
    <w:rsid w:val="00BF39C3"/>
    <w:rsid w:val="00C1011D"/>
    <w:rsid w:val="00C30064"/>
    <w:rsid w:val="00CC4961"/>
    <w:rsid w:val="00CF5745"/>
    <w:rsid w:val="00D2775A"/>
    <w:rsid w:val="00D305BD"/>
    <w:rsid w:val="00D73195"/>
    <w:rsid w:val="00D84A2D"/>
    <w:rsid w:val="00DA7C5C"/>
    <w:rsid w:val="00DB359B"/>
    <w:rsid w:val="00DB4034"/>
    <w:rsid w:val="00E26448"/>
    <w:rsid w:val="00E436A0"/>
    <w:rsid w:val="00EA34B0"/>
    <w:rsid w:val="00ED123A"/>
    <w:rsid w:val="00EE065B"/>
    <w:rsid w:val="00F42658"/>
    <w:rsid w:val="00F8119E"/>
    <w:rsid w:val="00FB07D6"/>
    <w:rsid w:val="00FB3204"/>
    <w:rsid w:val="00FE0D99"/>
    <w:rsid w:val="15102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1"/>
    <w:semiHidden/>
    <w:unhideWhenUsed/>
    <w:qFormat/>
    <w:uiPriority w:val="99"/>
    <w:pPr>
      <w:ind w:left="100" w:leftChars="250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paragraph" w:customStyle="1" w:styleId="10">
    <w:name w:val="Default"/>
    <w:qFormat/>
    <w:uiPriority w:val="0"/>
    <w:pPr>
      <w:widowControl w:val="0"/>
      <w:autoSpaceDE w:val="0"/>
      <w:autoSpaceDN w:val="0"/>
      <w:adjustRightInd w:val="0"/>
    </w:pPr>
    <w:rPr>
      <w:rFonts w:ascii="方正仿宋_GBK" w:eastAsia="方正仿宋_GBK" w:cs="方正仿宋_GBK" w:hAnsiTheme="minorHAnsi"/>
      <w:color w:val="000000"/>
      <w:kern w:val="0"/>
      <w:sz w:val="24"/>
      <w:szCs w:val="24"/>
      <w:lang w:val="en-US" w:eastAsia="zh-CN" w:bidi="ar-SA"/>
    </w:rPr>
  </w:style>
  <w:style w:type="character" w:customStyle="1" w:styleId="11">
    <w:name w:val="日期 字符"/>
    <w:basedOn w:val="7"/>
    <w:link w:val="2"/>
    <w:semiHidden/>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4303</Words>
  <Characters>4461</Characters>
  <Lines>32</Lines>
  <Paragraphs>9</Paragraphs>
  <TotalTime>158</TotalTime>
  <ScaleCrop>false</ScaleCrop>
  <LinksUpToDate>false</LinksUpToDate>
  <CharactersWithSpaces>4471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2024-05-29T06:43:00Z</dcterms:created>
  <dc:creator>gyb1</dc:creator>
  <cp:lastModifiedBy>程家骐</cp:lastModifiedBy>
  <dcterms:modified xsi:type="dcterms:W3CDTF">2024-08-21T08:05:44Z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527A9A6CCDB54E33BDFA758A557FD5AB_12</vt:lpwstr>
  </property>
</Properties>
</file>